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8783" w14:textId="00F727EC" w:rsidR="005E0B44" w:rsidRDefault="00AD5522">
      <w:hyperlink r:id="rId4" w:history="1">
        <w:r w:rsidRPr="00AD5522">
          <w:rPr>
            <w:rStyle w:val="Hyperlink"/>
          </w:rPr>
          <w:t>https://www2.education.vic.gov.au/pal/infectious-diseases/policy</w:t>
        </w:r>
      </w:hyperlink>
    </w:p>
    <w:sectPr w:rsidR="005E0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2"/>
    <w:rsid w:val="005E0B44"/>
    <w:rsid w:val="00AD5522"/>
    <w:rsid w:val="00F4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2C19"/>
  <w15:chartTrackingRefBased/>
  <w15:docId w15:val="{7A0AC2D2-13D0-47E0-9AF0-5D8FB18B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5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55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education.vic.gov.au/pal/infectious-diseases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Donovan</dc:creator>
  <cp:keywords/>
  <dc:description/>
  <cp:lastModifiedBy>Carolyn Donovan</cp:lastModifiedBy>
  <cp:revision>1</cp:revision>
  <dcterms:created xsi:type="dcterms:W3CDTF">2026-03-22T23:01:00Z</dcterms:created>
  <dcterms:modified xsi:type="dcterms:W3CDTF">2026-03-22T23:02:00Z</dcterms:modified>
</cp:coreProperties>
</file>